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8B82C">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14:paraId="20E2AD31">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一、项目概况</w:t>
      </w:r>
    </w:p>
    <w:p w14:paraId="2BAD2ED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河南中原黄金冶炼厂有限责任公司</w:t>
      </w:r>
      <w:r>
        <w:rPr>
          <w:rFonts w:hint="eastAsia" w:ascii="仿宋" w:hAnsi="仿宋" w:eastAsia="仿宋" w:cs="仿宋"/>
          <w:sz w:val="28"/>
          <w:szCs w:val="28"/>
          <w:lang w:eastAsia="zh-CN"/>
        </w:rPr>
        <w:t>现对该谈判</w:t>
      </w:r>
      <w:r>
        <w:rPr>
          <w:rFonts w:hint="eastAsia" w:ascii="仿宋" w:hAnsi="仿宋" w:eastAsia="仿宋" w:cs="仿宋"/>
          <w:sz w:val="28"/>
          <w:szCs w:val="28"/>
          <w:lang w:val="en-US" w:eastAsia="zh-CN"/>
        </w:rPr>
        <w:t>项目公开公示</w:t>
      </w:r>
      <w:r>
        <w:rPr>
          <w:rFonts w:hint="eastAsia" w:ascii="仿宋" w:hAnsi="仿宋" w:eastAsia="仿宋" w:cs="仿宋"/>
          <w:sz w:val="28"/>
          <w:szCs w:val="28"/>
        </w:rPr>
        <w:t>，请有</w:t>
      </w:r>
      <w:r>
        <w:rPr>
          <w:rFonts w:hint="eastAsia" w:ascii="仿宋" w:hAnsi="仿宋" w:eastAsia="仿宋" w:cs="仿宋"/>
          <w:sz w:val="28"/>
          <w:szCs w:val="28"/>
          <w:lang w:eastAsia="zh-CN"/>
        </w:rPr>
        <w:t>参与</w:t>
      </w:r>
      <w:r>
        <w:rPr>
          <w:rFonts w:hint="eastAsia" w:ascii="仿宋" w:hAnsi="仿宋" w:eastAsia="仿宋" w:cs="仿宋"/>
          <w:sz w:val="28"/>
          <w:szCs w:val="28"/>
        </w:rPr>
        <w:t>意向的供应商提交</w:t>
      </w:r>
      <w:r>
        <w:rPr>
          <w:rFonts w:hint="eastAsia" w:ascii="仿宋" w:hAnsi="仿宋" w:eastAsia="仿宋" w:cs="仿宋"/>
          <w:sz w:val="28"/>
          <w:szCs w:val="28"/>
          <w:lang w:eastAsia="zh-CN"/>
        </w:rPr>
        <w:t>报名表和相关资质文件</w:t>
      </w:r>
      <w:r>
        <w:rPr>
          <w:rFonts w:hint="eastAsia" w:ascii="仿宋" w:hAnsi="仿宋" w:eastAsia="仿宋" w:cs="仿宋"/>
          <w:sz w:val="28"/>
          <w:szCs w:val="28"/>
        </w:rPr>
        <w:t>。</w:t>
      </w:r>
    </w:p>
    <w:p w14:paraId="304E38D5">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谈判项目编号：</w:t>
      </w:r>
      <w:r>
        <w:rPr>
          <w:rFonts w:hint="eastAsia" w:ascii="仿宋" w:hAnsi="仿宋" w:eastAsia="仿宋" w:cs="仿宋"/>
          <w:color w:val="0000FF"/>
          <w:sz w:val="28"/>
          <w:szCs w:val="28"/>
          <w:u w:val="single"/>
          <w:lang w:val="en-US" w:eastAsia="zh-CN"/>
        </w:rPr>
        <w:t>CGB2026172</w:t>
      </w:r>
      <w:r>
        <w:rPr>
          <w:rFonts w:hint="eastAsia" w:ascii="仿宋" w:hAnsi="仿宋" w:eastAsia="仿宋" w:cs="仿宋"/>
          <w:sz w:val="28"/>
          <w:szCs w:val="28"/>
        </w:rPr>
        <w:t>。</w:t>
      </w:r>
    </w:p>
    <w:p w14:paraId="6116D415">
      <w:pPr>
        <w:numPr>
          <w:ilvl w:val="0"/>
          <w:numId w:val="1"/>
        </w:numPr>
        <w:spacing w:line="360" w:lineRule="auto"/>
        <w:rPr>
          <w:rFonts w:ascii="仿宋" w:hAnsi="仿宋" w:eastAsia="仿宋" w:cs="仿宋"/>
          <w:color w:val="auto"/>
          <w:sz w:val="28"/>
          <w:szCs w:val="28"/>
        </w:rPr>
      </w:pPr>
      <w:r>
        <w:rPr>
          <w:rFonts w:hint="eastAsia" w:ascii="仿宋" w:hAnsi="仿宋" w:eastAsia="仿宋" w:cs="仿宋"/>
          <w:sz w:val="28"/>
          <w:szCs w:val="28"/>
        </w:rPr>
        <w:t>项目名称：河南中原黄金冶炼厂有限责任公司</w:t>
      </w:r>
      <w:r>
        <w:rPr>
          <w:rFonts w:hint="eastAsia" w:ascii="仿宋" w:hAnsi="仿宋" w:eastAsia="仿宋" w:cs="仿宋"/>
          <w:color w:val="auto"/>
          <w:sz w:val="28"/>
          <w:szCs w:val="28"/>
          <w:u w:val="single"/>
          <w:lang w:eastAsia="zh-CN"/>
        </w:rPr>
        <w:t>退役厂区污染地块土壤修复项目非修复区摸底检测项目</w:t>
      </w:r>
      <w:r>
        <w:rPr>
          <w:rFonts w:hint="eastAsia" w:ascii="仿宋" w:hAnsi="仿宋" w:eastAsia="仿宋" w:cs="仿宋"/>
          <w:color w:val="auto"/>
          <w:sz w:val="28"/>
          <w:szCs w:val="28"/>
        </w:rPr>
        <w:t>。</w:t>
      </w:r>
    </w:p>
    <w:p w14:paraId="0DA1E7EC">
      <w:pPr>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业务管理部门:</w:t>
      </w:r>
      <w:r>
        <w:rPr>
          <w:rFonts w:hint="eastAsia" w:ascii="仿宋" w:hAnsi="仿宋" w:eastAsia="仿宋" w:cs="仿宋"/>
          <w:sz w:val="28"/>
          <w:szCs w:val="28"/>
          <w:u w:val="single"/>
          <w:lang w:eastAsia="zh-CN"/>
        </w:rPr>
        <w:t>环境保护与职业健康管理部</w:t>
      </w:r>
      <w:r>
        <w:rPr>
          <w:rFonts w:hint="eastAsia" w:ascii="仿宋" w:hAnsi="仿宋" w:eastAsia="仿宋" w:cs="仿宋"/>
          <w:sz w:val="28"/>
          <w:szCs w:val="28"/>
        </w:rPr>
        <w:t>。</w:t>
      </w:r>
    </w:p>
    <w:p w14:paraId="44178DF2">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p w14:paraId="2EC39BE9">
      <w:pPr>
        <w:numPr>
          <w:ilvl w:val="0"/>
          <w:numId w:val="0"/>
        </w:num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明细表</w:t>
      </w:r>
    </w:p>
    <w:tbl>
      <w:tblPr>
        <w:tblStyle w:val="5"/>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50"/>
        <w:gridCol w:w="913"/>
        <w:gridCol w:w="797"/>
        <w:gridCol w:w="853"/>
        <w:gridCol w:w="3437"/>
      </w:tblGrid>
      <w:tr w14:paraId="3E2A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14:paraId="1C55726D">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0" w:type="dxa"/>
          </w:tcPr>
          <w:p w14:paraId="02E0F596">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913" w:type="dxa"/>
          </w:tcPr>
          <w:p w14:paraId="52C5B38C">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w:t>
            </w:r>
          </w:p>
        </w:tc>
        <w:tc>
          <w:tcPr>
            <w:tcW w:w="797" w:type="dxa"/>
          </w:tcPr>
          <w:p w14:paraId="60747727">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853" w:type="dxa"/>
          </w:tcPr>
          <w:p w14:paraId="1784737C">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3437" w:type="dxa"/>
          </w:tcPr>
          <w:p w14:paraId="7E064A90">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41CC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9" w:type="dxa"/>
          </w:tcPr>
          <w:p w14:paraId="292AF2A4">
            <w:pPr>
              <w:numPr>
                <w:ilvl w:val="0"/>
                <w:numId w:val="0"/>
              </w:numPr>
              <w:spacing w:line="360" w:lineRule="auto"/>
              <w:jc w:val="center"/>
              <w:rPr>
                <w:rFonts w:hint="eastAsia" w:ascii="仿宋" w:hAnsi="仿宋" w:eastAsia="仿宋" w:cs="仿宋"/>
                <w:sz w:val="24"/>
                <w:szCs w:val="24"/>
                <w:vertAlign w:val="baseline"/>
                <w:lang w:val="en-US" w:eastAsia="zh-CN"/>
              </w:rPr>
            </w:pPr>
          </w:p>
          <w:p w14:paraId="5CD030B8">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0" w:type="dxa"/>
          </w:tcPr>
          <w:p w14:paraId="304BA980">
            <w:pPr>
              <w:numPr>
                <w:ilvl w:val="0"/>
                <w:numId w:val="0"/>
              </w:num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退役厂区污染地块土壤修复项目非修复区摸底检测项目</w:t>
            </w:r>
          </w:p>
        </w:tc>
        <w:tc>
          <w:tcPr>
            <w:tcW w:w="913" w:type="dxa"/>
          </w:tcPr>
          <w:p w14:paraId="58832DFC">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797" w:type="dxa"/>
          </w:tcPr>
          <w:p w14:paraId="46F53567">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853" w:type="dxa"/>
          </w:tcPr>
          <w:p w14:paraId="740C106A">
            <w:pPr>
              <w:numPr>
                <w:ilvl w:val="0"/>
                <w:numId w:val="0"/>
              </w:num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437" w:type="dxa"/>
            <w:vAlign w:val="top"/>
          </w:tcPr>
          <w:p w14:paraId="3D4B98CC">
            <w:pPr>
              <w:numPr>
                <w:ilvl w:val="0"/>
                <w:numId w:val="0"/>
              </w:numPr>
              <w:spacing w:line="360" w:lineRule="auto"/>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r>
    </w:tbl>
    <w:p w14:paraId="793BAFAB">
      <w:pPr>
        <w:numPr>
          <w:ilvl w:val="0"/>
          <w:numId w:val="2"/>
        </w:numPr>
        <w:spacing w:line="360" w:lineRule="auto"/>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p>
    <w:p w14:paraId="7161618E">
      <w:pPr>
        <w:numPr>
          <w:ilvl w:val="0"/>
          <w:numId w:val="3"/>
        </w:numPr>
        <w:spacing w:line="360" w:lineRule="auto"/>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资质要求：营业执照应含有环境检测相关项；具有CMA资质，环保检测，（2）为方便沟通，保证环保监测的时效性，只接受河南省内</w:t>
      </w:r>
    </w:p>
    <w:p w14:paraId="4631C302">
      <w:pPr>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单位报名，不接受分公司报价。</w:t>
      </w:r>
    </w:p>
    <w:p w14:paraId="7E78F681">
      <w:pPr>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业绩要求：1）2021 年以来完成冶金、有色类环保监测项目不少于5 项，完成有中国黄金集团同类项目优先考虑。（2）必须有近 3 年同行业内良好的信誉，没有骗取中标行为和数据造假严重违约；没有处于被责令停业、投标资格被取消、财产被接管、冻结、破产状态；</w:t>
      </w:r>
    </w:p>
    <w:p w14:paraId="22FE4FF0">
      <w:pPr>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未被部、省、市列入黑名单。（3）3 年内未发生违法生产经营业绩。</w:t>
      </w:r>
    </w:p>
    <w:p w14:paraId="65B9E715">
      <w:pPr>
        <w:numPr>
          <w:ilvl w:val="0"/>
          <w:numId w:val="0"/>
        </w:num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税率及价格：所有含税价格均为含 6%（允许偏差）增值税专用发</w:t>
      </w:r>
    </w:p>
    <w:p w14:paraId="514655D9">
      <w:pPr>
        <w:numPr>
          <w:ilvl w:val="0"/>
          <w:numId w:val="0"/>
        </w:numPr>
        <w:spacing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票价格。</w:t>
      </w:r>
      <w:bookmarkStart w:id="0" w:name="_GoBack"/>
      <w:r>
        <w:rPr>
          <w:rFonts w:hint="eastAsia" w:ascii="仿宋" w:hAnsi="仿宋" w:eastAsia="仿宋" w:cs="仿宋"/>
          <w:sz w:val="28"/>
          <w:szCs w:val="28"/>
          <w:highlight w:val="none"/>
          <w:lang w:val="en-US" w:eastAsia="zh-CN"/>
        </w:rPr>
        <w:t>含税价格包含到河南省三门峡市产业集聚区 209 国道南侧河南中原黄金冶炼厂有限责任公司内指定地点的运输、装卸等费用。</w:t>
      </w:r>
    </w:p>
    <w:p w14:paraId="5868857E">
      <w:pPr>
        <w:numPr>
          <w:ilvl w:val="0"/>
          <w:numId w:val="0"/>
        </w:numPr>
        <w:spacing w:line="360" w:lineRule="auto"/>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 质保期：该技术服务项目必须满足河南中原黄金冶炼厂有限责任公司实际施工进度计划要求，若中标供应商不能按时限要求到达现场采样并出具结果，造成的直接或间接损失，以及</w:t>
      </w:r>
      <w:r>
        <w:rPr>
          <w:rFonts w:hint="default" w:ascii="仿宋" w:hAnsi="仿宋" w:eastAsia="仿宋" w:cs="仿宋"/>
          <w:sz w:val="28"/>
          <w:szCs w:val="28"/>
          <w:highlight w:val="none"/>
          <w:lang w:val="en-US" w:eastAsia="zh-CN"/>
        </w:rPr>
        <w:t>引起的一切</w:t>
      </w:r>
      <w:r>
        <w:rPr>
          <w:rFonts w:hint="eastAsia" w:ascii="仿宋" w:hAnsi="仿宋" w:eastAsia="仿宋" w:cs="仿宋"/>
          <w:sz w:val="28"/>
          <w:szCs w:val="28"/>
          <w:highlight w:val="none"/>
          <w:lang w:val="en-US" w:eastAsia="zh-CN"/>
        </w:rPr>
        <w:t>误工</w:t>
      </w:r>
      <w:r>
        <w:rPr>
          <w:rFonts w:hint="default" w:ascii="仿宋" w:hAnsi="仿宋" w:eastAsia="仿宋" w:cs="仿宋"/>
          <w:sz w:val="28"/>
          <w:szCs w:val="28"/>
          <w:highlight w:val="none"/>
          <w:lang w:val="en-US" w:eastAsia="zh-CN"/>
        </w:rPr>
        <w:t>费用及损失均由</w:t>
      </w:r>
      <w:r>
        <w:rPr>
          <w:rFonts w:hint="eastAsia" w:ascii="仿宋" w:hAnsi="仿宋" w:eastAsia="仿宋" w:cs="仿宋"/>
          <w:sz w:val="28"/>
          <w:szCs w:val="28"/>
          <w:highlight w:val="none"/>
          <w:lang w:val="en-US" w:eastAsia="zh-CN"/>
        </w:rPr>
        <w:t>中标供应商</w:t>
      </w:r>
      <w:r>
        <w:rPr>
          <w:rFonts w:hint="default" w:ascii="仿宋" w:hAnsi="仿宋" w:eastAsia="仿宋" w:cs="仿宋"/>
          <w:sz w:val="28"/>
          <w:szCs w:val="28"/>
          <w:highlight w:val="none"/>
          <w:lang w:val="en-US" w:eastAsia="zh-CN"/>
        </w:rPr>
        <w:t>承担。</w:t>
      </w:r>
    </w:p>
    <w:bookmarkEnd w:id="0"/>
    <w:p w14:paraId="75036BF9">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付款方式：货到发票到后</w:t>
      </w:r>
      <w:r>
        <w:rPr>
          <w:rFonts w:hint="eastAsia" w:ascii="仿宋" w:hAnsi="仿宋" w:eastAsia="仿宋" w:cs="仿宋"/>
          <w:sz w:val="28"/>
          <w:szCs w:val="28"/>
          <w:u w:val="single"/>
          <w:lang w:val="en-US" w:eastAsia="zh-CN"/>
        </w:rPr>
        <w:t>1</w:t>
      </w:r>
      <w:r>
        <w:rPr>
          <w:rFonts w:hint="default" w:ascii="仿宋" w:hAnsi="仿宋" w:eastAsia="仿宋" w:cs="仿宋"/>
          <w:sz w:val="28"/>
          <w:szCs w:val="28"/>
          <w:lang w:val="en-US" w:eastAsia="zh-CN"/>
        </w:rPr>
        <w:t>个月内银行转账（现金）付款。</w:t>
      </w:r>
    </w:p>
    <w:p w14:paraId="68F96D73">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到货周期：买方下单后</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lang w:val="en-US" w:eastAsia="zh-CN"/>
        </w:rPr>
        <w:tab/>
      </w:r>
      <w:r>
        <w:rPr>
          <w:rFonts w:hint="default" w:ascii="仿宋" w:hAnsi="仿宋" w:eastAsia="仿宋" w:cs="仿宋"/>
          <w:sz w:val="28"/>
          <w:szCs w:val="28"/>
          <w:lang w:val="en-US" w:eastAsia="zh-CN"/>
        </w:rPr>
        <w:t>个自然日内。</w:t>
      </w:r>
    </w:p>
    <w:p w14:paraId="420C2D29">
      <w:pPr>
        <w:numPr>
          <w:ilvl w:val="0"/>
          <w:numId w:val="0"/>
        </w:numPr>
        <w:spacing w:line="360" w:lineRule="auto"/>
        <w:jc w:val="both"/>
        <w:rPr>
          <w:rFonts w:hint="default" w:ascii="仿宋" w:hAnsi="仿宋" w:eastAsia="仿宋" w:cs="仿宋"/>
          <w:sz w:val="28"/>
          <w:szCs w:val="28"/>
          <w:u w:val="none"/>
          <w:lang w:val="en-US" w:eastAsia="zh-CN"/>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工期：</w:t>
      </w:r>
      <w:r>
        <w:rPr>
          <w:rFonts w:hint="eastAsia" w:ascii="仿宋" w:hAnsi="仿宋" w:eastAsia="仿宋" w:cs="仿宋"/>
          <w:sz w:val="28"/>
          <w:szCs w:val="28"/>
          <w:u w:val="none"/>
          <w:lang w:val="en-US" w:eastAsia="zh-CN"/>
        </w:rPr>
        <w:t>为避免检测工作影响工程进度，供应商接到甲方现场通知后，须在1小时内抵达现场开展检测工作，并在3日内报送检测数据。供应商须具备LIMS系统，满足检测管理及数据追溯要求。</w:t>
      </w:r>
    </w:p>
    <w:p w14:paraId="22E88737">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谈判当天未在规定时间内按要求发送报价的，视为弃权。</w:t>
      </w:r>
    </w:p>
    <w:p w14:paraId="695252F2">
      <w:pPr>
        <w:numPr>
          <w:ilvl w:val="0"/>
          <w:numId w:val="0"/>
        </w:numPr>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9.谈判项目报名单位在“中国执行信息公开网”查询中属失信被执行人的，视为无履约能力，不得报名参加，已报名的视为无效报名。</w:t>
      </w:r>
    </w:p>
    <w:p w14:paraId="1ECED1C8">
      <w:pPr>
        <w:pStyle w:val="3"/>
        <w:keepNext w:val="0"/>
        <w:keepLines w:val="0"/>
        <w:widowControl/>
        <w:suppressLineNumbers w:val="0"/>
        <w:spacing w:before="0" w:beforeAutospacing="0" w:after="0" w:afterAutospacing="0"/>
        <w:ind w:left="0" w:firstLine="0"/>
        <w:jc w:val="left"/>
        <w:rPr>
          <w:rFonts w:hint="default"/>
          <w:lang w:val="en-US" w:eastAsia="zh-CN"/>
        </w:rPr>
      </w:pPr>
      <w:r>
        <w:rPr>
          <w:rFonts w:hint="eastAsia" w:ascii="仿宋" w:hAnsi="仿宋" w:eastAsia="仿宋" w:cs="仿宋"/>
          <w:color w:val="000000"/>
          <w:sz w:val="28"/>
          <w:szCs w:val="28"/>
          <w:lang w:val="en-US" w:eastAsia="zh-CN"/>
        </w:rPr>
        <w:t>10.</w:t>
      </w:r>
      <w:r>
        <w:rPr>
          <w:rFonts w:ascii="仿宋" w:hAnsi="仿宋" w:eastAsia="仿宋" w:cs="仿宋"/>
          <w:color w:val="000000"/>
          <w:sz w:val="28"/>
          <w:szCs w:val="28"/>
        </w:rPr>
        <w:t>若</w:t>
      </w:r>
      <w:r>
        <w:rPr>
          <w:rFonts w:hint="eastAsia" w:ascii="仿宋" w:hAnsi="仿宋" w:eastAsia="仿宋" w:cs="仿宋"/>
          <w:color w:val="000000"/>
          <w:sz w:val="28"/>
          <w:szCs w:val="28"/>
        </w:rPr>
        <w:t>谈判单位采取低于成本价的报价方式，评委将有权否决其谈判资格</w:t>
      </w:r>
      <w:r>
        <w:rPr>
          <w:rFonts w:hint="eastAsia" w:ascii="仿宋" w:hAnsi="仿宋" w:eastAsia="仿宋" w:cs="仿宋"/>
          <w:color w:val="000000"/>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abstractNum w:abstractNumId="2">
    <w:nsid w:val="5F1BCE1D"/>
    <w:multiLevelType w:val="singleLevel"/>
    <w:tmpl w:val="5F1BCE1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ZTdmNDQzMWNmODU2NDdlNWY4MWIwYjAxZDYwMGUifQ=="/>
  </w:docVars>
  <w:rsids>
    <w:rsidRoot w:val="00000000"/>
    <w:rsid w:val="002A7712"/>
    <w:rsid w:val="055F3042"/>
    <w:rsid w:val="08BC1DD1"/>
    <w:rsid w:val="099350CB"/>
    <w:rsid w:val="0FB029A1"/>
    <w:rsid w:val="18001197"/>
    <w:rsid w:val="19943DEF"/>
    <w:rsid w:val="2D9F4E40"/>
    <w:rsid w:val="3B620A15"/>
    <w:rsid w:val="3C353475"/>
    <w:rsid w:val="3D522C22"/>
    <w:rsid w:val="47156CFF"/>
    <w:rsid w:val="4D716F40"/>
    <w:rsid w:val="5C490690"/>
    <w:rsid w:val="6A6A370E"/>
    <w:rsid w:val="6F2C0435"/>
    <w:rsid w:val="73470603"/>
    <w:rsid w:val="75082E18"/>
    <w:rsid w:val="7CA97BB7"/>
    <w:rsid w:val="7DF25A9C"/>
    <w:rsid w:val="7F090BB3"/>
    <w:rsid w:val="7FE2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837</Words>
  <Characters>864</Characters>
  <Lines>0</Lines>
  <Paragraphs>0</Paragraphs>
  <TotalTime>6</TotalTime>
  <ScaleCrop>false</ScaleCrop>
  <LinksUpToDate>false</LinksUpToDate>
  <CharactersWithSpaces>878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颜静雅</cp:lastModifiedBy>
  <dcterms:modified xsi:type="dcterms:W3CDTF">2026-04-21T00:44:12Z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9A0D3F910E4945BA8A456BE87A1FC691_13</vt:lpwstr>
  </property>
  <property fmtid="{D5CDD505-2E9C-101B-9397-08002B2CF9AE}" pid="4" name="KSOTemplateDocerSaveRecord">
    <vt:lpwstr>eyJoZGlkIjoiMmMwZTAyYmJjZmFmOTUxZTUwZjQzYjUyY2NmYTg1NTQiLCJ1c2VySWQiOiIzNDkzNzk2MzkifQ==</vt:lpwstr>
  </property>
</Properties>
</file>