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谈判项目要求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一、项目概况</w:t>
      </w:r>
    </w:p>
    <w:p>
      <w:p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河南中原黄金冶炼厂有限责任公司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现对该谈判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项目公开公示</w:t>
      </w:r>
      <w:r>
        <w:rPr>
          <w:rFonts w:hint="eastAsia" w:ascii="仿宋" w:hAnsi="仿宋" w:eastAsia="仿宋" w:cs="仿宋"/>
          <w:sz w:val="28"/>
          <w:szCs w:val="28"/>
        </w:rPr>
        <w:t>，请有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参与</w:t>
      </w:r>
      <w:r>
        <w:rPr>
          <w:rFonts w:hint="eastAsia" w:ascii="仿宋" w:hAnsi="仿宋" w:eastAsia="仿宋" w:cs="仿宋"/>
          <w:sz w:val="28"/>
          <w:szCs w:val="28"/>
        </w:rPr>
        <w:t>意向的供应商提交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报名表和相关资质文件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谈判项目编号：</w:t>
      </w:r>
      <w:r>
        <w:rPr>
          <w:rFonts w:hint="eastAsia" w:ascii="仿宋" w:hAnsi="仿宋" w:eastAsia="仿宋" w:cs="仿宋"/>
          <w:color w:val="FF0000"/>
          <w:sz w:val="28"/>
          <w:szCs w:val="28"/>
          <w:u w:val="single"/>
          <w:lang w:val="en-US" w:eastAsia="zh-CN"/>
        </w:rPr>
        <w:t>YGCG2026019</w:t>
      </w:r>
      <w:bookmarkStart w:id="1" w:name="_GoBack"/>
      <w:bookmarkEnd w:id="1"/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项目名称：河南中原黄金冶炼厂有限责任公司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渣选矿分厂3方电动洒水车采购</w:t>
      </w:r>
    </w:p>
    <w:p>
      <w:pPr>
        <w:numPr>
          <w:ilvl w:val="0"/>
          <w:numId w:val="1"/>
        </w:numPr>
        <w:spacing w:line="360" w:lineRule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业务管理部门: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物资采购部</w:t>
      </w:r>
    </w:p>
    <w:p>
      <w:pPr>
        <w:numPr>
          <w:ilvl w:val="0"/>
          <w:numId w:val="2"/>
        </w:numPr>
        <w:spacing w:line="360" w:lineRule="auto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项目内容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明细表</w:t>
      </w:r>
    </w:p>
    <w:tbl>
      <w:tblPr>
        <w:tblStyle w:val="4"/>
        <w:tblW w:w="10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787"/>
        <w:gridCol w:w="5265"/>
        <w:gridCol w:w="804"/>
        <w:gridCol w:w="818"/>
        <w:gridCol w:w="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78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名称</w:t>
            </w:r>
          </w:p>
        </w:tc>
        <w:tc>
          <w:tcPr>
            <w:tcW w:w="526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8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73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762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87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洒水车</w:t>
            </w:r>
          </w:p>
        </w:tc>
        <w:tc>
          <w:tcPr>
            <w:tcW w:w="5265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 xml:space="preserve">纯电动 水箱容积3m³（304材质 厚度≥2.5mm） </w:t>
            </w:r>
          </w:p>
        </w:tc>
        <w:tc>
          <w:tcPr>
            <w:tcW w:w="804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台</w:t>
            </w:r>
          </w:p>
        </w:tc>
        <w:tc>
          <w:tcPr>
            <w:tcW w:w="818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3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OLE_LINK4"/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参考车型如下：</w:t>
      </w:r>
    </w:p>
    <w:tbl>
      <w:tblPr>
        <w:tblStyle w:val="3"/>
        <w:tblW w:w="1020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5"/>
        <w:gridCol w:w="62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车辆名称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海岸明珠六轮重载款雾炮洒水车（六合一款）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车辆型号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SFW3000S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驱动电机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大功率重载电机（5000瓦），动力输出强，带软启动，防溜坡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电池电源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容量72V100AH磷酸铁锂锂电池，性能稳定，寿命长，工作电压稳定。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充电时间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6--8小时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充电器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便携式智能全自动充电机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后视镜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左右各一手动型外后视镜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控制器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72V36管5000W控制器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倒车影像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仪表台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注塑成型仪表台，液晶仪表，组合开关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最小转弯半径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爬坡能力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≤20°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额定乘员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最高车速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40km/h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车架、车身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优质碳结构钢，整体焊接结构，颜色可定制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后桥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力腾SR500专车专用定制加重型一体式变档整体后桥，载重能力强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制动系统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前后制动，驻车制动装置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座椅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高密度发泡海绵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悬架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前悬加粗弹簧减震，后悬钢板弹簧式非独立减震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轮胎规格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前：165-13 后：165-13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信号灯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大灯、前转向灯、后转向灯、刹车灯、喇叭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整车尺寸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长：4180mm  宽：1680mm 高：1880mm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整备质量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≤1000KG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轴数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水箱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304材质，厚度≥2.5mm，焊缝满焊，表面拉丝处理，水箱内部耐压结构设计，配备：进水口、放水口、以及液位显示口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容积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3m³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雾炮泵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功率：500W  26型三缸柱塞泵 带动手持水枪、高压雾炮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洒水泵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功率：1000瓦  60型 纯电动自吸式离心泵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带动高压水炮(两变一体高压水炮，可喷柱形、扇形)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侧洒水(莲蓬式喷头或鸭嘴式喷头)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后洒水、交叉对冲、可选装前鸭嘴冲洗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喷洒装置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高压喷雾、高压水炮、侧洒水、后洒水、交叉对冲、手持水枪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球阀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高压球阀，防锈，耐高压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水路切换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高压球阀切换，方便快捷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三、性能及配置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1、车头采用优质碳素结构钢材质主弯管截面和造型，综合运用钣金、冷弯、模压、焊接工艺制作，推拉玻璃车门，外形美观，坚固耐用，新颖时尚。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2、底盘：采用大尺寸截面槽钢为主纵梁，无缝钢管横梁连接，具有良好的承载性能和可靠的强度及抗扭转性能，结构模块化设计，零配件通用互换，安全可靠。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3、整车控制系统：采用单片机控制，无级变速加速器器。具有防电磁干扰、防飞车、启动延时和倒车减速等安全功能。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4、前后桥及制动：前后均为一体式车桥结构，后桥采用全浮结构，安全系数高。前后液压制动，加宽制动器，具有很好的稳定性和安全性。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5、整车为纯电动，经济环保，电池采用磷酸铁锂锂电池。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6、水泵：采用直流无刷自吸泵，水泵功率1000w,洒水距离5-6米，高炮喷射距离可达约20米。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7、刹车系统：EBS制动真空助力系统，制动可靠。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8、轮胎：采用子午线高负荷汽车真空胎，耐磨损，使用寿命长。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2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9、配方向助力</w:t>
            </w:r>
          </w:p>
        </w:tc>
      </w:tr>
    </w:tbl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spacing w:line="360" w:lineRule="auto"/>
        <w:ind w:left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6362700" cy="4181475"/>
            <wp:effectExtent l="0" t="0" r="0" b="9525"/>
            <wp:docPr id="1030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418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项目要求</w:t>
      </w:r>
      <w:bookmarkEnd w:id="0"/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资质要求：营业执照应含有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机电设备、电动车销售等类似相关项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。   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业绩要求：相关物资的采购协议或合同等。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税率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及价格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：所有含税价格均为含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13％（若为其它税率报价时需注明）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增值税专用发票价格。含税价格包含到河南省三门峡市产业集聚区209国道南侧河南中原黄金冶炼厂有限责任公司内指定地点的运输、装卸等费用。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质保期：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该物资必须满足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河南中原黄金冶炼厂有限责任公司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实际生产要求，若因货物质量问题造成的直接或间接损失，所有退货或索赔引起的一切费用及损失均由送货单位承担。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付款方式：货到发票到后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个月内银行转账（现金）付款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（允许偏离）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到货周期：买方下单后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个自然日内。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工期：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供方最短交货期（报价时注明）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谈判当天未在规定时间内按要求发送报价的，视为弃权。</w:t>
      </w:r>
    </w:p>
    <w:p>
      <w:pPr>
        <w:numPr>
          <w:ilvl w:val="0"/>
          <w:numId w:val="3"/>
        </w:numPr>
        <w:spacing w:line="360" w:lineRule="auto"/>
        <w:ind w:left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谈判项目报名单位在“中国执行信息公开网”查询中属失信被执行人的，视为无履约能力，不得报名参加，已报名的视为无效报名。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firstLine="0"/>
        <w:jc w:val="left"/>
        <w:rPr>
          <w:rFonts w:hint="eastAsia" w:eastAsia="仿宋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10.</w:t>
      </w:r>
      <w:r>
        <w:rPr>
          <w:rFonts w:ascii="仿宋" w:hAnsi="仿宋" w:eastAsia="仿宋" w:cs="仿宋"/>
          <w:color w:val="000000"/>
          <w:sz w:val="28"/>
          <w:szCs w:val="28"/>
        </w:rPr>
        <w:t>若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谈判单位采取低于成本价的报价方式，评委将有权否决其谈判资格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。</w:t>
      </w:r>
    </w:p>
    <w:p>
      <w:pPr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134" w:right="850" w:bottom="1134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F0253"/>
    <w:multiLevelType w:val="singleLevel"/>
    <w:tmpl w:val="DFCF025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7278D17"/>
    <w:multiLevelType w:val="singleLevel"/>
    <w:tmpl w:val="47278D17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F1BCE1D"/>
    <w:multiLevelType w:val="singleLevel"/>
    <w:tmpl w:val="5F1BCE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3MTYyNWJiNGE5YWE0Yjg3NzQxNGJkNmY4MDM2NmQifQ=="/>
  </w:docVars>
  <w:rsids>
    <w:rsidRoot w:val="00000000"/>
    <w:rsid w:val="00123E47"/>
    <w:rsid w:val="02B20C36"/>
    <w:rsid w:val="02D66A6D"/>
    <w:rsid w:val="03411FB9"/>
    <w:rsid w:val="03B94246"/>
    <w:rsid w:val="055F3042"/>
    <w:rsid w:val="08BC1DD1"/>
    <w:rsid w:val="08CA72A8"/>
    <w:rsid w:val="0A2641C2"/>
    <w:rsid w:val="0BFE4EEC"/>
    <w:rsid w:val="0D991370"/>
    <w:rsid w:val="0DB25F8E"/>
    <w:rsid w:val="0ED1410A"/>
    <w:rsid w:val="0FB029A1"/>
    <w:rsid w:val="0FDA17CC"/>
    <w:rsid w:val="190851CE"/>
    <w:rsid w:val="26F9076F"/>
    <w:rsid w:val="29FF1015"/>
    <w:rsid w:val="2AC55222"/>
    <w:rsid w:val="2BA244B9"/>
    <w:rsid w:val="2DEB7B76"/>
    <w:rsid w:val="2E2867B4"/>
    <w:rsid w:val="32DA370D"/>
    <w:rsid w:val="35D72186"/>
    <w:rsid w:val="3B620A15"/>
    <w:rsid w:val="3B9D66EB"/>
    <w:rsid w:val="3D0D03C8"/>
    <w:rsid w:val="3D522C22"/>
    <w:rsid w:val="402F0A9A"/>
    <w:rsid w:val="4052098F"/>
    <w:rsid w:val="40621457"/>
    <w:rsid w:val="41E8556F"/>
    <w:rsid w:val="432A367A"/>
    <w:rsid w:val="43792ACE"/>
    <w:rsid w:val="47156CFF"/>
    <w:rsid w:val="4D716F40"/>
    <w:rsid w:val="4F952A3E"/>
    <w:rsid w:val="53D16F9B"/>
    <w:rsid w:val="548C4804"/>
    <w:rsid w:val="54CE09B4"/>
    <w:rsid w:val="57FB4576"/>
    <w:rsid w:val="581A61D6"/>
    <w:rsid w:val="5C490690"/>
    <w:rsid w:val="5C504CFD"/>
    <w:rsid w:val="5D3F585C"/>
    <w:rsid w:val="5F5E2701"/>
    <w:rsid w:val="60DB261B"/>
    <w:rsid w:val="60E92BEA"/>
    <w:rsid w:val="66A95A25"/>
    <w:rsid w:val="694C511B"/>
    <w:rsid w:val="6A1F142A"/>
    <w:rsid w:val="6A6A370E"/>
    <w:rsid w:val="6F375468"/>
    <w:rsid w:val="6F67350E"/>
    <w:rsid w:val="732B7092"/>
    <w:rsid w:val="73470603"/>
    <w:rsid w:val="752E4C17"/>
    <w:rsid w:val="7B3F26AB"/>
    <w:rsid w:val="7CA97BB7"/>
    <w:rsid w:val="7EE36A72"/>
    <w:rsid w:val="7F09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11"/>
    <w:basedOn w:val="5"/>
    <w:qFormat/>
    <w:uiPriority w:val="0"/>
    <w:rPr>
      <w:rFonts w:hint="default" w:ascii="Segoe UI" w:hAnsi="Segoe UI" w:eastAsia="Segoe UI" w:cs="Segoe UI"/>
      <w:color w:val="000000"/>
      <w:sz w:val="28"/>
      <w:szCs w:val="28"/>
      <w:u w:val="none"/>
    </w:rPr>
  </w:style>
  <w:style w:type="character" w:customStyle="1" w:styleId="8">
    <w:name w:val="font41"/>
    <w:basedOn w:val="5"/>
    <w:qFormat/>
    <w:uiPriority w:val="0"/>
    <w:rPr>
      <w:rFonts w:hint="default" w:ascii="Segoe UI" w:hAnsi="Segoe UI" w:eastAsia="Segoe UI" w:cs="Segoe UI"/>
      <w:color w:val="111111"/>
      <w:sz w:val="28"/>
      <w:szCs w:val="28"/>
      <w:u w:val="none"/>
    </w:rPr>
  </w:style>
  <w:style w:type="character" w:customStyle="1" w:styleId="9">
    <w:name w:val="font31"/>
    <w:basedOn w:val="5"/>
    <w:qFormat/>
    <w:uiPriority w:val="0"/>
    <w:rPr>
      <w:rFonts w:ascii="Segoe UI" w:hAnsi="Segoe UI" w:eastAsia="Segoe UI" w:cs="Segoe UI"/>
      <w:color w:val="000000"/>
      <w:sz w:val="28"/>
      <w:szCs w:val="28"/>
      <w:u w:val="none"/>
    </w:rPr>
  </w:style>
  <w:style w:type="character" w:customStyle="1" w:styleId="10">
    <w:name w:val="font51"/>
    <w:basedOn w:val="5"/>
    <w:qFormat/>
    <w:uiPriority w:val="0"/>
    <w:rPr>
      <w:rFonts w:ascii="Segoe UI" w:hAnsi="Segoe UI" w:eastAsia="Segoe UI" w:cs="Segoe UI"/>
      <w:color w:val="000000"/>
      <w:sz w:val="28"/>
      <w:szCs w:val="28"/>
      <w:u w:val="none"/>
    </w:rPr>
  </w:style>
  <w:style w:type="character" w:customStyle="1" w:styleId="11">
    <w:name w:val="font6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2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1520</Words>
  <Characters>1638</Characters>
  <Lines>0</Lines>
  <Paragraphs>0</Paragraphs>
  <TotalTime>25</TotalTime>
  <ScaleCrop>false</ScaleCrop>
  <LinksUpToDate>false</LinksUpToDate>
  <CharactersWithSpaces>1654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2024-01-15T07:00:00Z</dcterms:created>
  <dc:creator>Administrator</dc:creator>
  <cp:lastModifiedBy>李翰林</cp:lastModifiedBy>
  <cp:lastPrinted>2024-06-07T07:55:00Z</cp:lastPrinted>
  <dcterms:modified xsi:type="dcterms:W3CDTF">2026-01-22T02:28:15Z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029366EC3F6049918CC7034D489C4DDD_12</vt:lpwstr>
  </property>
  <property fmtid="{D5CDD505-2E9C-101B-9397-08002B2CF9AE}" pid="4" name="KSOTemplateDocerSaveRecord">
    <vt:lpwstr>eyJoZGlkIjoiOGYyYzcwNTIyMWFhZThlYTM5OWM1N2E2NzU3YmQ5YzgiLCJ1c2VySWQiOiIyMzQ3Nzk1MTUifQ==</vt:lpwstr>
  </property>
</Properties>
</file>