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现对该谈判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项目公开公示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意向的供应商提交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报名表和相关资质文件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谈判项目编号：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CGB2025247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光伏接入方案。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业务管理部门: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明细表</w:t>
      </w:r>
    </w:p>
    <w:tbl>
      <w:tblPr>
        <w:tblStyle w:val="4"/>
        <w:tblW w:w="8396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6"/>
        <w:gridCol w:w="1105"/>
        <w:gridCol w:w="992"/>
        <w:gridCol w:w="1217"/>
        <w:gridCol w:w="1378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不含税单价/元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含税（6%）单价/元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含税（6%）总价/元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光伏接入方案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通过国网三门峡公司的接入评审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资质要求：营业执照应同时具备工程设计电力行业（新能源发电）专业乙级及以上和工程咨询资信等级乙级电力（新能源）及以上资质。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业绩要求：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  <w:woUserID w:val="1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新能源接入方案业绩。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税率及价格：所有含税价格均为含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增值税专用发票价格。含税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价格包含到河南省三门峡市产业集聚区209国道南侧河南中原黄金冶炼厂有限责任公司内指定地点的运输、等费用。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质保期：该方案必须满足国家规范要求，通过国网三门峡公司的接入评审，满足河南中原黄金冶炼厂有限责任公司实际生产要求，若因乙方接入方案，不能满足以上需求我公司不给于支付接入方案费用。款方式：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  <w:woUserID w:val="1"/>
        </w:rPr>
        <w:t>国网评审通过，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发票到后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合同签订后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  <w:woUserID w:val="1"/>
        </w:rPr>
        <w:t>，接入方案提交后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支付费用的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  <w:woUserID w:val="1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0%；光伏接入方案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通过当地电力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  <w:woUserID w:val="1"/>
        </w:rPr>
        <w:t>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审批后支付剩余费用的</w:t>
      </w:r>
      <w:r>
        <w:rPr>
          <w:rFonts w:hint="default" w:ascii="仿宋" w:hAnsi="仿宋" w:eastAsia="仿宋" w:cs="仿宋"/>
          <w:sz w:val="28"/>
          <w:szCs w:val="28"/>
          <w:highlight w:val="none"/>
          <w:lang w:eastAsia="zh-CN"/>
          <w:woUserID w:val="1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0%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10 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400296"/>
    <w:rsid w:val="00492CA5"/>
    <w:rsid w:val="00B82A2F"/>
    <w:rsid w:val="055F3042"/>
    <w:rsid w:val="092312AC"/>
    <w:rsid w:val="0C2C649B"/>
    <w:rsid w:val="0FB029A1"/>
    <w:rsid w:val="11D7771D"/>
    <w:rsid w:val="186F2822"/>
    <w:rsid w:val="1CF60F03"/>
    <w:rsid w:val="1D3F66C0"/>
    <w:rsid w:val="1F832F4B"/>
    <w:rsid w:val="1F8E6CCF"/>
    <w:rsid w:val="24EC6A0A"/>
    <w:rsid w:val="2AED2645"/>
    <w:rsid w:val="2FC713E4"/>
    <w:rsid w:val="3A541D17"/>
    <w:rsid w:val="3B620A15"/>
    <w:rsid w:val="41722188"/>
    <w:rsid w:val="44DE196C"/>
    <w:rsid w:val="44E16EC7"/>
    <w:rsid w:val="47156CFF"/>
    <w:rsid w:val="48CF0344"/>
    <w:rsid w:val="49984C48"/>
    <w:rsid w:val="4D716F40"/>
    <w:rsid w:val="4DE140EE"/>
    <w:rsid w:val="4FE50BBB"/>
    <w:rsid w:val="4FE812EB"/>
    <w:rsid w:val="51C21AE4"/>
    <w:rsid w:val="53170390"/>
    <w:rsid w:val="543B2939"/>
    <w:rsid w:val="579A5704"/>
    <w:rsid w:val="5AFB3D57"/>
    <w:rsid w:val="5C35703E"/>
    <w:rsid w:val="5C490690"/>
    <w:rsid w:val="681F06B3"/>
    <w:rsid w:val="6A6A370E"/>
    <w:rsid w:val="6B0B4A71"/>
    <w:rsid w:val="6C8B47E6"/>
    <w:rsid w:val="6D8E89B3"/>
    <w:rsid w:val="6F006BFC"/>
    <w:rsid w:val="705F4E88"/>
    <w:rsid w:val="706F4BA0"/>
    <w:rsid w:val="77E90840"/>
    <w:rsid w:val="78053819"/>
    <w:rsid w:val="7AA6779F"/>
    <w:rsid w:val="7CA4541E"/>
    <w:rsid w:val="7CA97BB7"/>
    <w:rsid w:val="7CEE2D6C"/>
    <w:rsid w:val="7DE762AB"/>
    <w:rsid w:val="D1DAF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442</Words>
  <Characters>459</Characters>
  <Lines>0</Lines>
  <Paragraphs>0</Paragraphs>
  <TotalTime>0</TotalTime>
  <ScaleCrop>false</ScaleCrop>
  <LinksUpToDate>false</LinksUpToDate>
  <CharactersWithSpaces>474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李季尧</cp:lastModifiedBy>
  <dcterms:modified xsi:type="dcterms:W3CDTF">2025-08-11T15:10:01Z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87B1E705BE114EAF825A7F24C2259952</vt:lpwstr>
  </property>
  <property fmtid="{D5CDD505-2E9C-101B-9397-08002B2CF9AE}" pid="4" name="KSOTemplateDocerSaveRecord">
    <vt:lpwstr>eyJoZGlkIjoiMDcwYmEzZmQ1NTcxMzE4N2Y2NGFkZTlmMjQwODUzNjMiLCJ1c2VySWQiOiI5NjA3ODM3In0=</vt:lpwstr>
  </property>
</Properties>
</file>